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5F" w:rsidRDefault="000004CB" w:rsidP="00EF5A05">
      <w:pPr>
        <w:spacing w:before="0" w:after="0"/>
        <w:jc w:val="both"/>
      </w:pPr>
      <w:r>
        <w:t>Liebe Gemeinde, i</w:t>
      </w:r>
      <w:r w:rsidR="002A4B5F">
        <w:t xml:space="preserve">m Tagesgebet, der ersten Lesung und im Evangelium </w:t>
      </w:r>
      <w:r w:rsidR="00685BB8">
        <w:t>steht</w:t>
      </w:r>
      <w:r w:rsidR="002A4B5F">
        <w:t xml:space="preserve"> </w:t>
      </w:r>
      <w:r w:rsidR="00315C90">
        <w:t>das</w:t>
      </w:r>
      <w:r w:rsidR="002A4B5F">
        <w:t xml:space="preserve"> </w:t>
      </w:r>
      <w:r w:rsidR="00685BB8">
        <w:t>W</w:t>
      </w:r>
      <w:r w:rsidR="002A4B5F">
        <w:t xml:space="preserve">ort: „Herrlichkeit“. Jesus, unser Erlöser, ist in Gottes Herrlichkeit. Dort hat </w:t>
      </w:r>
      <w:r w:rsidR="00466CFE">
        <w:t>I</w:t>
      </w:r>
      <w:r w:rsidR="00466CFE" w:rsidRPr="00466CFE">
        <w:rPr>
          <w:sz w:val="18"/>
          <w:szCs w:val="18"/>
        </w:rPr>
        <w:t>HN</w:t>
      </w:r>
      <w:r w:rsidR="002A4B5F">
        <w:t xml:space="preserve"> der sterbende Stephanus gesehen: Als er, „erfüllt vom Heiligen Geist, zum Himmel</w:t>
      </w:r>
      <w:r w:rsidR="00130487">
        <w:t>“</w:t>
      </w:r>
      <w:r w:rsidR="002A4B5F">
        <w:t xml:space="preserve"> emporblickte, „sah </w:t>
      </w:r>
      <w:r w:rsidR="00130487">
        <w:t>[</w:t>
      </w:r>
      <w:r w:rsidR="002A4B5F">
        <w:t>er</w:t>
      </w:r>
      <w:r w:rsidR="00130487">
        <w:t>]</w:t>
      </w:r>
      <w:r w:rsidR="002A4B5F">
        <w:t xml:space="preserve"> die Herrlichkeit Gottes und Jesus zur Rechten Gottes stehen“. </w:t>
      </w:r>
      <w:r w:rsidR="002A4B5F">
        <w:rPr>
          <w:vertAlign w:val="superscript"/>
        </w:rPr>
        <w:t>(Apg 7,55)</w:t>
      </w:r>
    </w:p>
    <w:p w:rsidR="002A4B5F" w:rsidRDefault="002A4B5F" w:rsidP="00EF5A05">
      <w:pPr>
        <w:spacing w:before="0" w:after="0"/>
        <w:jc w:val="both"/>
      </w:pPr>
      <w:r>
        <w:t xml:space="preserve">Das Evangelium ist ein Ausschnitt aus </w:t>
      </w:r>
      <w:r w:rsidR="00315C90">
        <w:t xml:space="preserve">Jesu </w:t>
      </w:r>
      <w:r>
        <w:t>hohepriesterliche</w:t>
      </w:r>
      <w:r w:rsidR="00315C90">
        <w:t>m</w:t>
      </w:r>
      <w:r>
        <w:t xml:space="preserve"> Gebet</w:t>
      </w:r>
      <w:r w:rsidR="00130487">
        <w:t>.</w:t>
      </w:r>
      <w:r>
        <w:t xml:space="preserve"> </w:t>
      </w:r>
      <w:r w:rsidR="00130487">
        <w:t>Jesus</w:t>
      </w:r>
      <w:r>
        <w:t xml:space="preserve"> bet</w:t>
      </w:r>
      <w:r w:rsidR="00130487">
        <w:t>et</w:t>
      </w:r>
      <w:r>
        <w:t xml:space="preserve"> um die Einheit aller, die an </w:t>
      </w:r>
      <w:r w:rsidR="00C8082F">
        <w:t>I</w:t>
      </w:r>
      <w:r w:rsidR="00685BB8" w:rsidRPr="00685BB8">
        <w:rPr>
          <w:sz w:val="18"/>
          <w:szCs w:val="18"/>
        </w:rPr>
        <w:t>HN</w:t>
      </w:r>
      <w:r>
        <w:t xml:space="preserve"> glauben. </w:t>
      </w:r>
      <w:r w:rsidR="00130487">
        <w:t xml:space="preserve">Zweimal </w:t>
      </w:r>
      <w:r>
        <w:t xml:space="preserve">spricht </w:t>
      </w:r>
      <w:r w:rsidR="00130487">
        <w:t>E</w:t>
      </w:r>
      <w:r w:rsidR="00130487" w:rsidRPr="00466CFE">
        <w:rPr>
          <w:sz w:val="18"/>
          <w:szCs w:val="18"/>
        </w:rPr>
        <w:t>R</w:t>
      </w:r>
      <w:r w:rsidR="00130487">
        <w:t xml:space="preserve"> </w:t>
      </w:r>
      <w:r>
        <w:t>von Gottes Herrlichkeit: „</w:t>
      </w:r>
      <w:r w:rsidR="00130487">
        <w:t>I</w:t>
      </w:r>
      <w:r>
        <w:t xml:space="preserve">ch habe ihnen </w:t>
      </w:r>
      <w:r w:rsidRPr="009D4BA6">
        <w:rPr>
          <w:u w:val="single"/>
        </w:rPr>
        <w:t>die</w:t>
      </w:r>
      <w:r>
        <w:t xml:space="preserve"> Herrlichkeit gegeben, die du mir gegeben hast</w:t>
      </w:r>
      <w:r w:rsidR="00130487">
        <w:t>,</w:t>
      </w:r>
      <w:r>
        <w:t xml:space="preserve"> </w:t>
      </w:r>
      <w:r w:rsidR="00130487">
        <w:t>damit</w:t>
      </w:r>
      <w:r>
        <w:t xml:space="preserve"> sie </w:t>
      </w:r>
      <w:r w:rsidR="00B5355E">
        <w:t>eins s</w:t>
      </w:r>
      <w:r>
        <w:t>in</w:t>
      </w:r>
      <w:r w:rsidR="00B5355E">
        <w:t>d</w:t>
      </w:r>
      <w:r>
        <w:t>, wie wir eins sin</w:t>
      </w:r>
      <w:r w:rsidR="00EE3360">
        <w:t xml:space="preserve">d, ich in ihnen und du in mir. </w:t>
      </w:r>
      <w:r>
        <w:t xml:space="preserve">Sie sollen </w:t>
      </w:r>
      <w:r w:rsidRPr="009D4BA6">
        <w:rPr>
          <w:u w:val="single"/>
        </w:rPr>
        <w:t>meine</w:t>
      </w:r>
      <w:r>
        <w:t xml:space="preserve"> Herrlichkeit sehen, die du mir gegeben hast, weil du mich schon geliebt hast vor der </w:t>
      </w:r>
      <w:r w:rsidR="00130487">
        <w:t>Grundlegung</w:t>
      </w:r>
      <w:r>
        <w:t xml:space="preserve"> der Welt.“</w:t>
      </w:r>
      <w:r w:rsidR="00C8082F">
        <w:rPr>
          <w:vertAlign w:val="superscript"/>
        </w:rPr>
        <w:t xml:space="preserve"> </w:t>
      </w:r>
      <w:r>
        <w:rPr>
          <w:vertAlign w:val="superscript"/>
        </w:rPr>
        <w:t>(Joh 17,22</w:t>
      </w:r>
      <w:r w:rsidR="00130487">
        <w:rPr>
          <w:vertAlign w:val="superscript"/>
        </w:rPr>
        <w:t>.</w:t>
      </w:r>
      <w:r>
        <w:rPr>
          <w:vertAlign w:val="superscript"/>
        </w:rPr>
        <w:t>24)</w:t>
      </w:r>
    </w:p>
    <w:p w:rsidR="00C8082F" w:rsidRDefault="002A4B5F" w:rsidP="00EF5A05">
      <w:pPr>
        <w:spacing w:before="0" w:after="0"/>
        <w:jc w:val="both"/>
      </w:pPr>
      <w:r>
        <w:t>Gottes Herrlichkeit ist Inbe</w:t>
      </w:r>
      <w:r>
        <w:softHyphen/>
        <w:t xml:space="preserve">griff </w:t>
      </w:r>
      <w:r w:rsidR="00130487">
        <w:t>S</w:t>
      </w:r>
      <w:r>
        <w:t xml:space="preserve">eines Wesens und </w:t>
      </w:r>
      <w:r w:rsidR="00130487">
        <w:t>S</w:t>
      </w:r>
      <w:r>
        <w:t xml:space="preserve">eine Gabe. </w:t>
      </w:r>
      <w:r w:rsidR="00EE3360">
        <w:t>„Herr</w:t>
      </w:r>
      <w:r w:rsidR="00EE3360">
        <w:softHyphen/>
        <w:t>lich</w:t>
      </w:r>
      <w:r w:rsidR="00EE3360">
        <w:softHyphen/>
        <w:t>keit</w:t>
      </w:r>
      <w:r w:rsidR="00C8082F">
        <w:t xml:space="preserve"> ist für uns heute ein schwieriges Wort“.</w:t>
      </w:r>
      <w:r w:rsidR="00685BB8">
        <w:rPr>
          <w:rStyle w:val="Funotenzeichen"/>
        </w:rPr>
        <w:footnoteReference w:id="1"/>
      </w:r>
      <w:r w:rsidR="00EE3360">
        <w:t xml:space="preserve"> Um</w:t>
      </w:r>
      <w:r>
        <w:t>so not</w:t>
      </w:r>
      <w:r w:rsidR="00EE3360">
        <w:softHyphen/>
      </w:r>
      <w:r>
        <w:t>wen</w:t>
      </w:r>
      <w:r w:rsidR="00130487">
        <w:softHyphen/>
      </w:r>
      <w:r w:rsidR="00EE3360">
        <w:softHyphen/>
      </w:r>
      <w:r>
        <w:t xml:space="preserve">diger ist es, sich mit diesem Wort, dieser Wirklichkeit zu befassen. </w:t>
      </w:r>
    </w:p>
    <w:p w:rsidR="002A4B5F" w:rsidRPr="009D4BA6" w:rsidRDefault="002A4B5F" w:rsidP="00EF5A05">
      <w:pPr>
        <w:spacing w:before="0" w:after="0"/>
        <w:jc w:val="both"/>
        <w:rPr>
          <w:vertAlign w:val="superscript"/>
        </w:rPr>
      </w:pPr>
      <w:r>
        <w:t xml:space="preserve">Gottes Herrlichkeit ist die </w:t>
      </w:r>
      <w:r w:rsidR="008C410F">
        <w:t>Folge</w:t>
      </w:r>
      <w:r>
        <w:t xml:space="preserve"> seines H</w:t>
      </w:r>
      <w:r w:rsidR="00F04C89" w:rsidRPr="00466CFE">
        <w:rPr>
          <w:sz w:val="18"/>
          <w:szCs w:val="18"/>
        </w:rPr>
        <w:t>ERR</w:t>
      </w:r>
      <w:r>
        <w:t xml:space="preserve">-Seins. </w:t>
      </w:r>
      <w:r w:rsidR="004C0C52">
        <w:t>I</w:t>
      </w:r>
      <w:r w:rsidR="00EE3360">
        <w:t xml:space="preserve">m Alten Testament ist </w:t>
      </w:r>
      <w:r>
        <w:t>J</w:t>
      </w:r>
      <w:r w:rsidR="004C0C52" w:rsidRPr="00466CFE">
        <w:rPr>
          <w:sz w:val="18"/>
          <w:szCs w:val="18"/>
        </w:rPr>
        <w:t>AHWE</w:t>
      </w:r>
      <w:r>
        <w:t xml:space="preserve"> mit „H</w:t>
      </w:r>
      <w:r w:rsidR="00F04C89" w:rsidRPr="00466CFE">
        <w:rPr>
          <w:sz w:val="18"/>
          <w:szCs w:val="18"/>
        </w:rPr>
        <w:t>ERR</w:t>
      </w:r>
      <w:r>
        <w:t xml:space="preserve">“ </w:t>
      </w:r>
      <w:r w:rsidR="00C8082F">
        <w:t>übersetzt</w:t>
      </w:r>
      <w:r>
        <w:t xml:space="preserve"> worden</w:t>
      </w:r>
      <w:r w:rsidR="004C0C52">
        <w:t>.</w:t>
      </w:r>
      <w:r>
        <w:t xml:space="preserve"> </w:t>
      </w:r>
      <w:r w:rsidR="004C0C52">
        <w:t>Der</w:t>
      </w:r>
      <w:r>
        <w:t xml:space="preserve"> </w:t>
      </w:r>
      <w:r w:rsidR="00C8082F">
        <w:t>Philipper</w:t>
      </w:r>
      <w:r w:rsidR="00B5355E">
        <w:softHyphen/>
      </w:r>
      <w:r w:rsidR="00C8082F">
        <w:t>h</w:t>
      </w:r>
      <w:r>
        <w:t>ym</w:t>
      </w:r>
      <w:r w:rsidR="00B5355E">
        <w:softHyphen/>
      </w:r>
      <w:r>
        <w:t>nus bes</w:t>
      </w:r>
      <w:r w:rsidR="004C0C52">
        <w:t>i</w:t>
      </w:r>
      <w:r>
        <w:t>ng</w:t>
      </w:r>
      <w:r w:rsidR="004C0C52">
        <w:t>t</w:t>
      </w:r>
      <w:r>
        <w:t xml:space="preserve">, dass </w:t>
      </w:r>
      <w:r w:rsidR="00B5355E">
        <w:t>der Vater</w:t>
      </w:r>
      <w:r>
        <w:t xml:space="preserve"> diesen </w:t>
      </w:r>
      <w:r w:rsidR="00B5355E">
        <w:t>S</w:t>
      </w:r>
      <w:r>
        <w:t>einen Namen Jesus verliehen hat</w:t>
      </w:r>
      <w:r w:rsidR="00B5355E">
        <w:t xml:space="preserve">, damit </w:t>
      </w:r>
      <w:r>
        <w:t>„</w:t>
      </w:r>
      <w:r w:rsidR="00B5355E">
        <w:t>jeder Mund bekennt: Jesus Christus ist der</w:t>
      </w:r>
      <w:r>
        <w:t xml:space="preserve"> Herr!“</w:t>
      </w:r>
      <w:r w:rsidR="009D4BA6">
        <w:rPr>
          <w:vertAlign w:val="superscript"/>
        </w:rPr>
        <w:t xml:space="preserve"> (Phil 2,11)</w:t>
      </w:r>
      <w:r w:rsidR="00EE3360">
        <w:rPr>
          <w:vertAlign w:val="superscript"/>
        </w:rPr>
        <w:t xml:space="preserve"> </w:t>
      </w:r>
    </w:p>
    <w:p w:rsidR="002A4B5F" w:rsidRDefault="002A4B5F" w:rsidP="00EF5A05">
      <w:pPr>
        <w:spacing w:before="0" w:after="0"/>
        <w:jc w:val="both"/>
      </w:pPr>
      <w:r>
        <w:t>Freilich bringt J</w:t>
      </w:r>
      <w:r w:rsidR="00F04C89" w:rsidRPr="00466CFE">
        <w:rPr>
          <w:sz w:val="18"/>
          <w:szCs w:val="18"/>
        </w:rPr>
        <w:t>AHWE</w:t>
      </w:r>
      <w:r>
        <w:t>, der i</w:t>
      </w:r>
      <w:r w:rsidR="00315C90">
        <w:t>n</w:t>
      </w:r>
      <w:r>
        <w:t xml:space="preserve"> </w:t>
      </w:r>
      <w:r w:rsidR="00315C90">
        <w:t>Israel</w:t>
      </w:r>
      <w:r>
        <w:t xml:space="preserve"> nicht ausgesprochene Name Gottes, nicht nur </w:t>
      </w:r>
      <w:r w:rsidR="00C8082F">
        <w:t xml:space="preserve">Seine </w:t>
      </w:r>
      <w:r>
        <w:t>souveräne</w:t>
      </w:r>
      <w:r w:rsidR="00C8082F">
        <w:t xml:space="preserve"> </w:t>
      </w:r>
      <w:r>
        <w:t xml:space="preserve">Majestät zum Ausdruck, sondern auch </w:t>
      </w:r>
      <w:r w:rsidR="00466CFE">
        <w:t>S</w:t>
      </w:r>
      <w:r>
        <w:t>ein absolutes Für-Sein-Volk-Dasein: „Ich bin</w:t>
      </w:r>
      <w:r w:rsidR="00F04C89">
        <w:t xml:space="preserve"> der ich bin</w:t>
      </w:r>
      <w:r>
        <w:t xml:space="preserve"> da, für euch!“</w:t>
      </w:r>
      <w:r w:rsidR="009D4BA6">
        <w:rPr>
          <w:vertAlign w:val="superscript"/>
        </w:rPr>
        <w:t xml:space="preserve"> (Ex 3,14)</w:t>
      </w:r>
      <w:r w:rsidR="004C0C52">
        <w:t xml:space="preserve"> So kann die Exodusstelle auch übersetzt werden.</w:t>
      </w:r>
      <w:r>
        <w:t xml:space="preserve"> </w:t>
      </w:r>
      <w:r w:rsidR="004C0C52">
        <w:t xml:space="preserve">Gottes </w:t>
      </w:r>
      <w:r>
        <w:t xml:space="preserve">Herrlichkeit ist </w:t>
      </w:r>
      <w:r w:rsidR="004C0C52">
        <w:t xml:space="preserve">die </w:t>
      </w:r>
      <w:r>
        <w:t xml:space="preserve">Manifestation </w:t>
      </w:r>
      <w:r w:rsidR="004C0C52">
        <w:t>S</w:t>
      </w:r>
      <w:r>
        <w:t xml:space="preserve">einer Zuneigung zur Welt und vor allem zu </w:t>
      </w:r>
      <w:r w:rsidR="004C0C52">
        <w:t>S</w:t>
      </w:r>
      <w:r>
        <w:t xml:space="preserve">einem Volk, </w:t>
      </w:r>
      <w:r w:rsidR="004C0C52">
        <w:t>S</w:t>
      </w:r>
      <w:r>
        <w:t>einem Augapfel, wie es heißt.</w:t>
      </w:r>
    </w:p>
    <w:p w:rsidR="002A4B5F" w:rsidRDefault="00671F4E" w:rsidP="00EF5A05">
      <w:pPr>
        <w:spacing w:before="0" w:after="0"/>
        <w:jc w:val="both"/>
      </w:pPr>
      <w:r>
        <w:t xml:space="preserve">Auch vom griechischen „δόξα“ und vom hebräischen „kabôd“ her </w:t>
      </w:r>
      <w:r w:rsidR="002A4B5F">
        <w:t>k</w:t>
      </w:r>
      <w:r>
        <w:t>ö</w:t>
      </w:r>
      <w:r w:rsidR="002A4B5F">
        <w:t>nn</w:t>
      </w:r>
      <w:r>
        <w:t>en</w:t>
      </w:r>
      <w:r w:rsidR="002A4B5F">
        <w:t xml:space="preserve"> </w:t>
      </w:r>
      <w:r>
        <w:t>wir uns</w:t>
      </w:r>
      <w:r w:rsidR="002A4B5F">
        <w:t xml:space="preserve"> dem, was „Herrlichkeit“ </w:t>
      </w:r>
      <w:r w:rsidR="00EF5A05">
        <w:t>meint</w:t>
      </w:r>
      <w:r w:rsidR="002A4B5F">
        <w:t xml:space="preserve">, nähern. Die Übersetzer </w:t>
      </w:r>
      <w:r>
        <w:t>nehmen</w:t>
      </w:r>
      <w:r w:rsidR="002A4B5F">
        <w:t xml:space="preserve"> Worte wie „Machtglanz“, „Wucht“</w:t>
      </w:r>
      <w:r>
        <w:t>,</w:t>
      </w:r>
      <w:r w:rsidR="002A4B5F">
        <w:t xml:space="preserve"> „Glorie“ </w:t>
      </w:r>
      <w:r>
        <w:t>als Umschreibung</w:t>
      </w:r>
      <w:r w:rsidR="002A4B5F">
        <w:t xml:space="preserve">. Im hebräischen Wort „kabôd“ schwingen die Bedeutungen des Verbs „kabêd“ mit </w:t>
      </w:r>
      <w:r w:rsidR="00EF5A05">
        <w:t>–</w:t>
      </w:r>
      <w:r w:rsidR="002A4B5F">
        <w:t xml:space="preserve"> schwer sein, </w:t>
      </w:r>
      <w:r w:rsidR="00EF5A05">
        <w:t>be</w:t>
      </w:r>
      <w:r w:rsidR="002A4B5F">
        <w:t>lasten</w:t>
      </w:r>
      <w:r w:rsidR="00EF5A05">
        <w:t>, bedrücken, drückend</w:t>
      </w:r>
      <w:r w:rsidR="002A4B5F">
        <w:t xml:space="preserve">. </w:t>
      </w:r>
      <w:r w:rsidR="00466CFE">
        <w:t xml:space="preserve">– </w:t>
      </w:r>
      <w:r w:rsidR="002A4B5F">
        <w:t>Gottes Herrlichkeit</w:t>
      </w:r>
      <w:r w:rsidR="00B5355E">
        <w:t>,</w:t>
      </w:r>
      <w:r w:rsidR="00EF5A05">
        <w:t xml:space="preserve"> </w:t>
      </w:r>
      <w:r w:rsidR="00B5355E">
        <w:t>so</w:t>
      </w:r>
      <w:r w:rsidR="002A4B5F">
        <w:t xml:space="preserve"> </w:t>
      </w:r>
      <w:r w:rsidR="00EF5A05">
        <w:t>könnte man</w:t>
      </w:r>
      <w:r w:rsidR="002A4B5F">
        <w:t xml:space="preserve"> </w:t>
      </w:r>
      <w:r w:rsidR="00EF5A05">
        <w:t>sagen</w:t>
      </w:r>
      <w:r w:rsidR="00B5355E">
        <w:t>,</w:t>
      </w:r>
      <w:r w:rsidR="002A4B5F">
        <w:t xml:space="preserve"> ist </w:t>
      </w:r>
      <w:r w:rsidR="00466CFE">
        <w:t>S</w:t>
      </w:r>
      <w:r w:rsidR="002A4B5F">
        <w:t xml:space="preserve">ein unendliches „Gewicht“. </w:t>
      </w:r>
      <w:r w:rsidR="00B5355E">
        <w:t xml:space="preserve">– </w:t>
      </w:r>
      <w:r w:rsidR="002A4B5F">
        <w:t>Wir kennen die Redeweise vom Gewicht einer Person, die uns „imponiert“</w:t>
      </w:r>
      <w:r w:rsidR="00EE3360">
        <w:t xml:space="preserve"> – Eindruck macht</w:t>
      </w:r>
      <w:r w:rsidR="002A4B5F">
        <w:t xml:space="preserve">, also ihr Gewicht auf uns legt. Nicht umsonst heißt eine biblische Grundregel: </w:t>
      </w:r>
      <w:r w:rsidR="00466CFE">
        <w:t>‚</w:t>
      </w:r>
      <w:r w:rsidR="002A4B5F">
        <w:t>Wer Gott sieht, mu</w:t>
      </w:r>
      <w:r w:rsidR="00EF5A05">
        <w:t>ss</w:t>
      </w:r>
      <w:r w:rsidR="009D4BA6">
        <w:t xml:space="preserve"> sterben.</w:t>
      </w:r>
      <w:r w:rsidR="00466CFE">
        <w:t>‘</w:t>
      </w:r>
      <w:r w:rsidR="002A4B5F">
        <w:t xml:space="preserve"> </w:t>
      </w:r>
      <w:r w:rsidR="009D4BA6">
        <w:t>S</w:t>
      </w:r>
      <w:r w:rsidR="002A4B5F">
        <w:t>eine Wucht</w:t>
      </w:r>
      <w:r w:rsidR="00C8082F">
        <w:t>, sein Gewicht</w:t>
      </w:r>
      <w:r w:rsidR="002A4B5F">
        <w:t xml:space="preserve"> ist</w:t>
      </w:r>
      <w:r w:rsidR="004C0C52">
        <w:t xml:space="preserve"> für ein irdisches Wesen</w:t>
      </w:r>
      <w:r w:rsidR="002A4B5F">
        <w:t xml:space="preserve"> nicht auszuhalten</w:t>
      </w:r>
      <w:r w:rsidR="004C0C52">
        <w:t>; es wird erdrückt</w:t>
      </w:r>
      <w:r w:rsidR="002A4B5F">
        <w:t>.</w:t>
      </w:r>
    </w:p>
    <w:p w:rsidR="002A4B5F" w:rsidRPr="00AC3BB6" w:rsidRDefault="002A4B5F" w:rsidP="00EF5A05">
      <w:pPr>
        <w:spacing w:before="0" w:after="0"/>
        <w:jc w:val="both"/>
        <w:rPr>
          <w:vertAlign w:val="superscript"/>
        </w:rPr>
      </w:pPr>
      <w:r>
        <w:t xml:space="preserve">Erst auf </w:t>
      </w:r>
      <w:r w:rsidR="00EE3360">
        <w:t>dies</w:t>
      </w:r>
      <w:r>
        <w:t xml:space="preserve">em Hintergrund gewinnen </w:t>
      </w:r>
      <w:r w:rsidR="00466CFE">
        <w:t xml:space="preserve">Jesu </w:t>
      </w:r>
      <w:r>
        <w:t>Worte i</w:t>
      </w:r>
      <w:r w:rsidR="00EE3360">
        <w:t>m</w:t>
      </w:r>
      <w:r>
        <w:t xml:space="preserve"> Gebet ihre Klarheit: </w:t>
      </w:r>
      <w:r w:rsidR="00B5355E">
        <w:lastRenderedPageBreak/>
        <w:t xml:space="preserve">Gottes </w:t>
      </w:r>
      <w:r>
        <w:t>Herrlichkeit, die der Vater Jesus und</w:t>
      </w:r>
      <w:r w:rsidR="00B5355E">
        <w:t xml:space="preserve"> die</w:t>
      </w:r>
      <w:r>
        <w:t xml:space="preserve"> Jesus </w:t>
      </w:r>
      <w:r w:rsidR="00466CFE">
        <w:t>S</w:t>
      </w:r>
      <w:r>
        <w:t>einen Jüngern g</w:t>
      </w:r>
      <w:r w:rsidR="00EE3360">
        <w:t>i</w:t>
      </w:r>
      <w:r>
        <w:t>b</w:t>
      </w:r>
      <w:r w:rsidR="00EE3360">
        <w:t>t</w:t>
      </w:r>
      <w:r>
        <w:t>, ist eine so sanfte Wucht wie das „leise Säuseln“ bei Gottes Erschein</w:t>
      </w:r>
      <w:r w:rsidR="00EF5A05">
        <w:t>en</w:t>
      </w:r>
      <w:r>
        <w:t xml:space="preserve"> vor dem Propheten Elija am Horeb</w:t>
      </w:r>
      <w:r w:rsidR="00365CF8">
        <w:t>, das Ben Gurion mit „verschwebendes Schweigen“ übersetzt</w:t>
      </w:r>
      <w:r>
        <w:t xml:space="preserve">. </w:t>
      </w:r>
      <w:r>
        <w:rPr>
          <w:vertAlign w:val="superscript"/>
        </w:rPr>
        <w:t>(1 Kön 19)</w:t>
      </w:r>
      <w:r>
        <w:t xml:space="preserve"> Mehr noch: Es ist die freie Kraft der Einheit und Einigung, die </w:t>
      </w:r>
      <w:r w:rsidR="00EF5A05">
        <w:t>–</w:t>
      </w:r>
      <w:r>
        <w:t xml:space="preserve"> trinitarisch gesprochen </w:t>
      </w:r>
      <w:r w:rsidR="00EF5A05">
        <w:t>–</w:t>
      </w:r>
      <w:r>
        <w:t xml:space="preserve"> zwischen Vater und Sohn herrscht und die J</w:t>
      </w:r>
      <w:r w:rsidR="000841B1">
        <w:t>esu Jünger ganz einen soll: „</w:t>
      </w:r>
      <w:r w:rsidR="00B5355E">
        <w:t>Damit</w:t>
      </w:r>
      <w:r>
        <w:t xml:space="preserve"> sie eins sin</w:t>
      </w:r>
      <w:r w:rsidR="00B5355E">
        <w:t>d</w:t>
      </w:r>
      <w:r>
        <w:t>, wie wir eins sind, ich in ihnen und du in mir.“</w:t>
      </w:r>
      <w:r w:rsidR="009D4BA6">
        <w:rPr>
          <w:vertAlign w:val="superscript"/>
        </w:rPr>
        <w:t xml:space="preserve"> (Joh</w:t>
      </w:r>
      <w:r w:rsidR="00B5355E">
        <w:rPr>
          <w:vertAlign w:val="superscript"/>
        </w:rPr>
        <w:t xml:space="preserve"> </w:t>
      </w:r>
      <w:r w:rsidR="009D4BA6">
        <w:rPr>
          <w:vertAlign w:val="superscript"/>
        </w:rPr>
        <w:t>17,22f)</w:t>
      </w:r>
      <w:r>
        <w:t xml:space="preserve"> Jesus nennt deutlich den Grund dieser Einheit:</w:t>
      </w:r>
      <w:r w:rsidR="009D4BA6">
        <w:t xml:space="preserve"> Die Liebe!</w:t>
      </w:r>
      <w:r>
        <w:t xml:space="preserve"> </w:t>
      </w:r>
      <w:r w:rsidR="009D4BA6" w:rsidRPr="009D4BA6">
        <w:rPr>
          <w:u w:val="single"/>
        </w:rPr>
        <w:t>D</w:t>
      </w:r>
      <w:r>
        <w:rPr>
          <w:u w:val="single"/>
        </w:rPr>
        <w:t>ie Liebe</w:t>
      </w:r>
      <w:r>
        <w:t xml:space="preserve">, mit </w:t>
      </w:r>
      <w:r w:rsidR="009D4BA6">
        <w:t>d</w:t>
      </w:r>
      <w:r>
        <w:t xml:space="preserve">er der Vater den Sohn „schon geliebt hat vor </w:t>
      </w:r>
      <w:r w:rsidR="00B5355E">
        <w:t>Grundleg</w:t>
      </w:r>
      <w:r>
        <w:t>ung der Welt“.</w:t>
      </w:r>
      <w:r w:rsidR="009D4BA6">
        <w:rPr>
          <w:vertAlign w:val="superscript"/>
        </w:rPr>
        <w:t xml:space="preserve"> (v 24)</w:t>
      </w:r>
      <w:r>
        <w:t xml:space="preserve"> Und </w:t>
      </w:r>
      <w:r w:rsidR="00EF5A05">
        <w:t>Jesus</w:t>
      </w:r>
      <w:r w:rsidR="006A6294">
        <w:t xml:space="preserve"> legt in diesem Sinn</w:t>
      </w:r>
      <w:r>
        <w:t xml:space="preserve"> auch den Namen Gottes aus, den </w:t>
      </w:r>
      <w:r w:rsidR="00EF5A05">
        <w:t>E</w:t>
      </w:r>
      <w:r w:rsidR="00466CFE" w:rsidRPr="00466CFE">
        <w:rPr>
          <w:sz w:val="18"/>
          <w:szCs w:val="18"/>
        </w:rPr>
        <w:t>R</w:t>
      </w:r>
      <w:r>
        <w:t xml:space="preserve"> seinen Jüngern bekannt gemacht hat und bekannt machen wird, „damit die Liebe, mit der du mich geliebt hast, in ihnen ist und ich in ihnen bin“.</w:t>
      </w:r>
      <w:r w:rsidR="00AC3BB6">
        <w:rPr>
          <w:vertAlign w:val="superscript"/>
        </w:rPr>
        <w:t xml:space="preserve"> (v 26)</w:t>
      </w:r>
    </w:p>
    <w:p w:rsidR="002A4B5F" w:rsidRDefault="00100591" w:rsidP="00EF5A05">
      <w:pPr>
        <w:spacing w:before="0" w:after="0"/>
        <w:jc w:val="both"/>
      </w:pPr>
      <w:r>
        <w:t xml:space="preserve">Gottes </w:t>
      </w:r>
      <w:r w:rsidR="002A4B5F">
        <w:t>Herrlichkeit erweist sich i</w:t>
      </w:r>
      <w:r>
        <w:t>m</w:t>
      </w:r>
      <w:r w:rsidR="002A4B5F">
        <w:t xml:space="preserve"> durch Jesus, dem Messias, erneuerten Volk als Einheit</w:t>
      </w:r>
      <w:r w:rsidR="00466CFE">
        <w:t xml:space="preserve"> </w:t>
      </w:r>
      <w:r w:rsidR="00466CFE" w:rsidRPr="00466CFE">
        <w:rPr>
          <w:u w:val="single"/>
        </w:rPr>
        <w:t>in</w:t>
      </w:r>
      <w:r w:rsidR="002A4B5F">
        <w:t xml:space="preserve"> der Liebe. Und so ist klar: Spaltungen des Volkes Gottes verdunkeln </w:t>
      </w:r>
      <w:r w:rsidR="00EF5A05">
        <w:t xml:space="preserve">Gottes </w:t>
      </w:r>
      <w:r w:rsidR="002A4B5F">
        <w:t>Herrlichkeit in der Welt und verhindern, da</w:t>
      </w:r>
      <w:r w:rsidR="00EF5A05">
        <w:t>ss</w:t>
      </w:r>
      <w:r w:rsidR="002A4B5F">
        <w:t xml:space="preserve"> die Welt glaubt. Sie sind zutiefst zerstörerisch.</w:t>
      </w:r>
    </w:p>
    <w:p w:rsidR="002A4B5F" w:rsidRDefault="002A4B5F" w:rsidP="00EF5A05">
      <w:pPr>
        <w:spacing w:before="0" w:after="0"/>
        <w:jc w:val="both"/>
      </w:pPr>
      <w:r>
        <w:t xml:space="preserve">Die </w:t>
      </w:r>
      <w:r w:rsidRPr="00EF5A05">
        <w:rPr>
          <w:i/>
        </w:rPr>
        <w:t>zweite Lesung</w:t>
      </w:r>
      <w:r>
        <w:t xml:space="preserve"> aus der Offenbarung des Johannes spricht nicht ausdrücklich von </w:t>
      </w:r>
      <w:r w:rsidR="00100591">
        <w:t xml:space="preserve">Gottes </w:t>
      </w:r>
      <w:r>
        <w:t>Herrlichkeit; sie setzt gewissermaßen einen Kontrapunkt. Da</w:t>
      </w:r>
      <w:r w:rsidR="00EF5A05">
        <w:t>ss</w:t>
      </w:r>
      <w:r>
        <w:t xml:space="preserve"> Gott Jesus </w:t>
      </w:r>
      <w:r w:rsidR="00840326">
        <w:t>S</w:t>
      </w:r>
      <w:r>
        <w:t xml:space="preserve">eine Herrlichkeit, </w:t>
      </w:r>
      <w:r w:rsidR="00840326">
        <w:t>S</w:t>
      </w:r>
      <w:r>
        <w:t>einen Namen gegeben hat, wird dadurch deutlich, da</w:t>
      </w:r>
      <w:r w:rsidR="00EF5A05">
        <w:t>ss</w:t>
      </w:r>
      <w:r>
        <w:t xml:space="preserve"> sich Jesus selbst mit den Hoheitstiteln Gottes vorstellt. E</w:t>
      </w:r>
      <w:r w:rsidR="00466CFE" w:rsidRPr="00466CFE">
        <w:rPr>
          <w:sz w:val="18"/>
          <w:szCs w:val="18"/>
        </w:rPr>
        <w:t>R</w:t>
      </w:r>
      <w:r>
        <w:t xml:space="preserve"> sagt: „Ich bin das Alpha und das </w:t>
      </w:r>
      <w:r w:rsidR="00840326">
        <w:t>Ó</w:t>
      </w:r>
      <w:r>
        <w:t>mega“.</w:t>
      </w:r>
      <w:r w:rsidR="00AC3BB6">
        <w:rPr>
          <w:vertAlign w:val="superscript"/>
        </w:rPr>
        <w:t xml:space="preserve"> (Offb 22,13)</w:t>
      </w:r>
      <w:r>
        <w:t xml:space="preserve"> Schon </w:t>
      </w:r>
      <w:r w:rsidR="00B0012C">
        <w:t>am</w:t>
      </w:r>
      <w:r>
        <w:t xml:space="preserve"> Beginn der Offenbarung hieß es: „Ich bin das Alpha und das </w:t>
      </w:r>
      <w:r w:rsidR="00840326">
        <w:t>Ó</w:t>
      </w:r>
      <w:r>
        <w:t xml:space="preserve">mega, spricht Gott der Herr, der ist und der war und der kommt, der Herrscher über die ganze Schöpfung.“ </w:t>
      </w:r>
      <w:r>
        <w:rPr>
          <w:vertAlign w:val="superscript"/>
        </w:rPr>
        <w:t>(</w:t>
      </w:r>
      <w:r w:rsidR="000841B1">
        <w:rPr>
          <w:vertAlign w:val="superscript"/>
        </w:rPr>
        <w:t xml:space="preserve">Offb </w:t>
      </w:r>
      <w:r>
        <w:rPr>
          <w:vertAlign w:val="superscript"/>
        </w:rPr>
        <w:t>1,8)</w:t>
      </w:r>
      <w:r>
        <w:t xml:space="preserve"> Jesus sagt wiederholt: „Ich bin der Erste und der Letzte.“ Und Gott selbst sprach: „Ich bin das Alpha und das </w:t>
      </w:r>
      <w:r w:rsidR="00840326">
        <w:t>Ó</w:t>
      </w:r>
      <w:r>
        <w:t xml:space="preserve">mega, der Anfang und das Ende.“ </w:t>
      </w:r>
      <w:r>
        <w:rPr>
          <w:vertAlign w:val="superscript"/>
        </w:rPr>
        <w:t>(</w:t>
      </w:r>
      <w:r w:rsidR="000841B1">
        <w:rPr>
          <w:vertAlign w:val="superscript"/>
        </w:rPr>
        <w:t xml:space="preserve">Offb </w:t>
      </w:r>
      <w:r>
        <w:rPr>
          <w:vertAlign w:val="superscript"/>
        </w:rPr>
        <w:t>21,6)</w:t>
      </w:r>
    </w:p>
    <w:p w:rsidR="002A4B5F" w:rsidRPr="00AC3BB6" w:rsidRDefault="002A4B5F" w:rsidP="00EF5A05">
      <w:pPr>
        <w:spacing w:before="0" w:after="0"/>
        <w:jc w:val="both"/>
        <w:rPr>
          <w:vertAlign w:val="superscript"/>
        </w:rPr>
      </w:pPr>
      <w:r>
        <w:t xml:space="preserve">In </w:t>
      </w:r>
      <w:r w:rsidR="00100591">
        <w:t xml:space="preserve">Gottes </w:t>
      </w:r>
      <w:r>
        <w:t>Vollmacht</w:t>
      </w:r>
      <w:r w:rsidR="00100591">
        <w:t xml:space="preserve"> </w:t>
      </w:r>
      <w:r w:rsidR="00802171">
        <w:t>–</w:t>
      </w:r>
      <w:r>
        <w:t xml:space="preserve"> ausdrücklich heißt es: „Ich, Jesus“</w:t>
      </w:r>
      <w:r w:rsidR="00AC3BB6">
        <w:rPr>
          <w:vertAlign w:val="superscript"/>
        </w:rPr>
        <w:t xml:space="preserve"> (22,16)</w:t>
      </w:r>
      <w:r>
        <w:t xml:space="preserve"> </w:t>
      </w:r>
      <w:r w:rsidR="00802171">
        <w:t>–</w:t>
      </w:r>
      <w:r>
        <w:t xml:space="preserve"> </w:t>
      </w:r>
      <w:r w:rsidR="00B0012C">
        <w:t>kündigt E</w:t>
      </w:r>
      <w:r w:rsidR="008C410F" w:rsidRPr="00466CFE">
        <w:rPr>
          <w:sz w:val="18"/>
          <w:szCs w:val="18"/>
        </w:rPr>
        <w:t>R</w:t>
      </w:r>
      <w:r w:rsidR="00B0012C">
        <w:t xml:space="preserve"> </w:t>
      </w:r>
      <w:r>
        <w:t>sein baldiges Kommen an. Die Textauswahl</w:t>
      </w:r>
      <w:r w:rsidR="00802171">
        <w:t xml:space="preserve"> lässt</w:t>
      </w:r>
      <w:r>
        <w:t xml:space="preserve"> V</w:t>
      </w:r>
      <w:r w:rsidR="00466CFE">
        <w:t>.</w:t>
      </w:r>
      <w:r w:rsidR="00AC3BB6">
        <w:t xml:space="preserve"> 15</w:t>
      </w:r>
      <w:r>
        <w:t xml:space="preserve"> aus</w:t>
      </w:r>
      <w:r w:rsidR="00AC3BB6">
        <w:t>.</w:t>
      </w:r>
      <w:r>
        <w:t xml:space="preserve"> </w:t>
      </w:r>
      <w:r w:rsidR="00AC3BB6">
        <w:t>E</w:t>
      </w:r>
      <w:r>
        <w:t>r spricht</w:t>
      </w:r>
      <w:r w:rsidR="00AC3BB6" w:rsidRPr="00AC3BB6">
        <w:t xml:space="preserve"> </w:t>
      </w:r>
      <w:r w:rsidR="00AC3BB6">
        <w:t>von denen</w:t>
      </w:r>
      <w:r>
        <w:t>, die „draußen“</w:t>
      </w:r>
      <w:r w:rsidR="00AC3BB6">
        <w:t xml:space="preserve"> bleiben müssen</w:t>
      </w:r>
      <w:r w:rsidR="006A6294">
        <w:t>: „Die Zauberer, die Unzüchtigen und die Mörder, die Götzendiener und jeder, der die Lüge liebt und tut.“</w:t>
      </w:r>
      <w:r w:rsidR="006A6294">
        <w:rPr>
          <w:vertAlign w:val="superscript"/>
        </w:rPr>
        <w:t xml:space="preserve"> (15)</w:t>
      </w:r>
      <w:r w:rsidR="00802171">
        <w:t xml:space="preserve"> </w:t>
      </w:r>
      <w:r w:rsidR="006A6294">
        <w:t xml:space="preserve">Mit unserem eigenen Handeln also verschließen wir uns selbst die Tür zum Leben. </w:t>
      </w:r>
      <w:r w:rsidR="00AC3BB6">
        <w:t>Die Textauswahl</w:t>
      </w:r>
      <w:r>
        <w:t xml:space="preserve"> hebt auf Jesu heilvolles Kommen ab. </w:t>
      </w:r>
      <w:r w:rsidR="00AC3BB6">
        <w:t>Jesus</w:t>
      </w:r>
      <w:r>
        <w:t xml:space="preserve"> öffnet dem, der „sein Gewand </w:t>
      </w:r>
      <w:r w:rsidR="00F72D22">
        <w:t>ge</w:t>
      </w:r>
      <w:r>
        <w:t>w</w:t>
      </w:r>
      <w:r w:rsidR="00F72D22">
        <w:t>a</w:t>
      </w:r>
      <w:r>
        <w:t>sch</w:t>
      </w:r>
      <w:r w:rsidR="00F72D22">
        <w:t>en und im Blut des Lammes weiß gemacht“ hat</w:t>
      </w:r>
      <w:r w:rsidR="00F72D22">
        <w:rPr>
          <w:vertAlign w:val="superscript"/>
        </w:rPr>
        <w:t xml:space="preserve"> (7,14)</w:t>
      </w:r>
      <w:r>
        <w:t xml:space="preserve">, die Tore zur himmlischen Stadt, in der nun der paradiesische Lebensbaum steht. Schon im Brief an die Gemeinde </w:t>
      </w:r>
      <w:r w:rsidR="00F72D22">
        <w:t>von</w:t>
      </w:r>
      <w:r>
        <w:t xml:space="preserve"> Ephesus </w:t>
      </w:r>
      <w:r w:rsidR="00B0012C">
        <w:t>am</w:t>
      </w:r>
      <w:r>
        <w:t xml:space="preserve"> Beginn der Offenbarung hieß es: „Wer siegt, dem werde ich zu essen geben vom Baum des Lebens, der im Paradies Gottes steht.“</w:t>
      </w:r>
      <w:r>
        <w:rPr>
          <w:vertAlign w:val="superscript"/>
        </w:rPr>
        <w:t>(2,7)</w:t>
      </w:r>
      <w:r>
        <w:t xml:space="preserve"> Der Lohn, den Jesus mitbringt, ist also das Leben in der neuen Stadt, in </w:t>
      </w:r>
      <w:r>
        <w:lastRenderedPageBreak/>
        <w:t xml:space="preserve">der Gott in der Mitte </w:t>
      </w:r>
      <w:r w:rsidR="00840326">
        <w:t>S</w:t>
      </w:r>
      <w:r>
        <w:t>eines Volkes wohnt.</w:t>
      </w:r>
      <w:r w:rsidR="00365CF8">
        <w:t xml:space="preserve"> </w:t>
      </w:r>
      <w:r>
        <w:t>Während Jesus noch einmal bekräftigt „Ja, ich komme bald“, rufen „der Geist und die Braut: Komm!“</w:t>
      </w:r>
      <w:r w:rsidR="00AC3BB6">
        <w:rPr>
          <w:vertAlign w:val="superscript"/>
        </w:rPr>
        <w:t xml:space="preserve"> (22,17)</w:t>
      </w:r>
      <w:r>
        <w:t xml:space="preserve"> Und die im Gottesdienst versammelte Gemeinde bekräftigt: „Amen. Komm, Herr Jesus!“</w:t>
      </w:r>
      <w:r w:rsidR="00AC3BB6">
        <w:rPr>
          <w:vertAlign w:val="superscript"/>
        </w:rPr>
        <w:t xml:space="preserve"> (22,20)</w:t>
      </w:r>
    </w:p>
    <w:p w:rsidR="002A4B5F" w:rsidRDefault="002A4B5F" w:rsidP="00EF5A05">
      <w:pPr>
        <w:spacing w:before="0" w:after="0"/>
        <w:jc w:val="both"/>
      </w:pPr>
      <w:r>
        <w:t xml:space="preserve">Die Gemeinde, die Kirche wird mit dem intimsten Prädikat des Gottesvolks vorgestellt: „Braut.“ Sie erfleht das Kommen des Bräutigams und damit die Hochzeit, von der schon der himmlische Chor gesungen hatte: „Wir wollen uns freuen und jubeln und ihm die Ehre erweisen. Denn gekommen ist die Hochzeit des Lammes, und seine Frau hat sich bereit gemacht.“ </w:t>
      </w:r>
      <w:r>
        <w:rPr>
          <w:vertAlign w:val="superscript"/>
        </w:rPr>
        <w:t>(19,7)</w:t>
      </w:r>
      <w:r>
        <w:t xml:space="preserve"> Mit dem Geist, der zusammen mit der Braut ruft, ist das himmlische Selbst des Propheten gemeint, der Seher im Zustand seiner Entrückung, in der er ganz im Geist Gottes lebt und spricht</w:t>
      </w:r>
      <w:r w:rsidR="00F72D22">
        <w:t>,</w:t>
      </w:r>
      <w:r w:rsidR="00840326">
        <w:t xml:space="preserve"> zugleich ist diese Braut die Kirche</w:t>
      </w:r>
      <w:r w:rsidR="00365CF8">
        <w:t xml:space="preserve"> hier auf der Erde</w:t>
      </w:r>
      <w:r w:rsidR="00840326">
        <w:t>.</w:t>
      </w:r>
    </w:p>
    <w:p w:rsidR="002A4B5F" w:rsidRDefault="002A4B5F" w:rsidP="00EF5A05">
      <w:pPr>
        <w:spacing w:before="0" w:after="0"/>
        <w:jc w:val="both"/>
      </w:pPr>
      <w:r>
        <w:t>Man kann nicht genug die Kühnheit der kirchlichen Liturgie bewundern, die jeden Sonntag schon die Hochzeit des Lammes feiert. Die Einladung zur Kom</w:t>
      </w:r>
      <w:r>
        <w:softHyphen/>
      </w:r>
      <w:r>
        <w:softHyphen/>
        <w:t xml:space="preserve">munion ist ja der Offenbarung entnommen, </w:t>
      </w:r>
      <w:r w:rsidR="00B0012C">
        <w:t>da</w:t>
      </w:r>
      <w:r>
        <w:t xml:space="preserve"> der Seher aufschreiben</w:t>
      </w:r>
      <w:r w:rsidR="00B0012C">
        <w:t xml:space="preserve"> muss</w:t>
      </w:r>
      <w:r>
        <w:t>: „Selig, wer zum Hochzeitsmahl des Lammes eingeladen ist</w:t>
      </w:r>
      <w:r w:rsidR="00F72D22">
        <w:t>!</w:t>
      </w:r>
      <w:r>
        <w:t xml:space="preserve">“ </w:t>
      </w:r>
      <w:r>
        <w:rPr>
          <w:vertAlign w:val="superscript"/>
        </w:rPr>
        <w:t>(19,9)</w:t>
      </w:r>
      <w:r>
        <w:t xml:space="preserve"> Jede Eucharistie, so hat es </w:t>
      </w:r>
      <w:r w:rsidR="000C4E24">
        <w:t>Papst Benedikt XVI.</w:t>
      </w:r>
      <w:r w:rsidR="00AC3BB6">
        <w:t xml:space="preserve"> einmal</w:t>
      </w:r>
      <w:r>
        <w:t xml:space="preserve"> formuliert, ist Parusie </w:t>
      </w:r>
      <w:r w:rsidR="00802171">
        <w:t>–</w:t>
      </w:r>
      <w:r>
        <w:t xml:space="preserve"> Kommen des H</w:t>
      </w:r>
      <w:r w:rsidR="00671F4E" w:rsidRPr="00671F4E">
        <w:rPr>
          <w:sz w:val="18"/>
          <w:szCs w:val="18"/>
        </w:rPr>
        <w:t>ERRN</w:t>
      </w:r>
      <w:r>
        <w:t xml:space="preserve">. </w:t>
      </w:r>
      <w:r w:rsidR="00840326">
        <w:t>Diese Parusie</w:t>
      </w:r>
      <w:r>
        <w:t xml:space="preserve"> setzt </w:t>
      </w:r>
      <w:r w:rsidR="00B0012C">
        <w:t>jedoch</w:t>
      </w:r>
      <w:r>
        <w:t xml:space="preserve"> unbedingt die </w:t>
      </w:r>
      <w:r>
        <w:rPr>
          <w:u w:val="single"/>
        </w:rPr>
        <w:t>Einheit</w:t>
      </w:r>
      <w:r>
        <w:t xml:space="preserve"> der einen Braut voraus und hilft gleichzeitig </w:t>
      </w:r>
      <w:r w:rsidR="00AC3BB6">
        <w:t>diese</w:t>
      </w:r>
      <w:r>
        <w:t xml:space="preserve"> herzustellen; der Bräutigam tanzt nicht auf mehreren Hochzeiten!</w:t>
      </w:r>
    </w:p>
    <w:p w:rsidR="002A4B5F" w:rsidRDefault="002A4B5F" w:rsidP="00EF5A05">
      <w:pPr>
        <w:spacing w:before="0" w:after="0"/>
        <w:jc w:val="both"/>
      </w:pPr>
      <w:r>
        <w:t xml:space="preserve">Freilich hält die Liturgie gleichzeitig den Blick auf </w:t>
      </w:r>
      <w:r w:rsidR="00100591">
        <w:t xml:space="preserve">Jesu </w:t>
      </w:r>
      <w:r>
        <w:t xml:space="preserve">Kommen „in Herrlichkeit“ offen, wenn die Gemeinde nach den Einsetzungsworten </w:t>
      </w:r>
      <w:r w:rsidR="00F72D22">
        <w:t>und dem Ruf des Priesters:</w:t>
      </w:r>
      <w:r>
        <w:t xml:space="preserve"> „Geheimnis des Glaubens“ </w:t>
      </w:r>
      <w:r w:rsidR="00F72D22">
        <w:t>antwortet</w:t>
      </w:r>
      <w:r>
        <w:t xml:space="preserve">: „Deinen Tod, o Herr, verkünden wir und deine Auferstehung preisen wir, bis du kommst in Herrlichkeit.“ </w:t>
      </w:r>
    </w:p>
    <w:p w:rsidR="00D23F5F" w:rsidRPr="002A4B5F" w:rsidRDefault="002A4B5F" w:rsidP="00EF5A05">
      <w:pPr>
        <w:spacing w:before="0" w:after="0"/>
        <w:jc w:val="both"/>
      </w:pPr>
      <w:r>
        <w:t xml:space="preserve">Jesu Herrlichkeit hat hier </w:t>
      </w:r>
      <w:r w:rsidR="00611B0F">
        <w:t>Seine</w:t>
      </w:r>
      <w:r>
        <w:t xml:space="preserve"> rich</w:t>
      </w:r>
      <w:r>
        <w:softHyphen/>
        <w:t xml:space="preserve">terliche Hoheit im Blick, von der gerade in der Offenbarung immer </w:t>
      </w:r>
      <w:r w:rsidR="00840326">
        <w:t>neu</w:t>
      </w:r>
      <w:r>
        <w:t xml:space="preserve"> gesprochen wird. Auch </w:t>
      </w:r>
      <w:r w:rsidR="00611B0F">
        <w:t>Stephanus s</w:t>
      </w:r>
      <w:r w:rsidR="00671F4E">
        <w:t>a</w:t>
      </w:r>
      <w:r w:rsidR="00611B0F">
        <w:t>h in seiner</w:t>
      </w:r>
      <w:r>
        <w:t xml:space="preserve"> Vision den Menschensohn als Richter zur Rechten der Herrlichkeit Gottes. Und i</w:t>
      </w:r>
      <w:r w:rsidR="00611B0F">
        <w:t>m</w:t>
      </w:r>
      <w:r>
        <w:t xml:space="preserve"> hohepriesterlichen Gebet spricht Jesus Gott auch nicht zufällig mit „Gerechter Vater“</w:t>
      </w:r>
      <w:r w:rsidR="00C36F26">
        <w:rPr>
          <w:vertAlign w:val="superscript"/>
        </w:rPr>
        <w:t xml:space="preserve"> (Joh 22,25)</w:t>
      </w:r>
      <w:r>
        <w:t xml:space="preserve"> an. Seine Gerechtigkeit, </w:t>
      </w:r>
      <w:r w:rsidR="00B0012C">
        <w:t>di</w:t>
      </w:r>
      <w:r>
        <w:t xml:space="preserve">e richterliche Unbestechlichkeit, gehört wie </w:t>
      </w:r>
      <w:r w:rsidR="00B0012C">
        <w:t>di</w:t>
      </w:r>
      <w:r>
        <w:t xml:space="preserve">e Barmherzigkeit zur Hoheit </w:t>
      </w:r>
      <w:r w:rsidR="00B0012C">
        <w:t>S</w:t>
      </w:r>
      <w:r>
        <w:t>einer Herrlichkeit. In I</w:t>
      </w:r>
      <w:r w:rsidR="00671F4E" w:rsidRPr="00671F4E">
        <w:rPr>
          <w:sz w:val="18"/>
          <w:szCs w:val="18"/>
        </w:rPr>
        <w:t>HM</w:t>
      </w:r>
      <w:r w:rsidR="00611B0F">
        <w:t>, in Gott dem Vater</w:t>
      </w:r>
      <w:r w:rsidR="00937D33">
        <w:t>,</w:t>
      </w:r>
      <w:r>
        <w:t xml:space="preserve"> </w:t>
      </w:r>
      <w:r w:rsidR="00365CF8">
        <w:t>sind</w:t>
      </w:r>
      <w:bookmarkStart w:id="0" w:name="_GoBack"/>
      <w:bookmarkEnd w:id="0"/>
      <w:r>
        <w:t xml:space="preserve"> Gerechtigkeit und Herrlichkeit</w:t>
      </w:r>
      <w:r w:rsidR="00671F4E">
        <w:t xml:space="preserve"> eins</w:t>
      </w:r>
      <w:r>
        <w:t xml:space="preserve"> </w:t>
      </w:r>
      <w:r w:rsidR="00B0012C">
        <w:t>–</w:t>
      </w:r>
      <w:r>
        <w:t xml:space="preserve"> </w:t>
      </w:r>
      <w:r w:rsidR="00B0012C">
        <w:t>welcher</w:t>
      </w:r>
      <w:r>
        <w:t xml:space="preserve"> Trost für uns.</w:t>
      </w:r>
      <w:r w:rsidR="00B0012C">
        <w:t xml:space="preserve"> </w:t>
      </w:r>
      <w:r w:rsidR="00B0012C">
        <w:tab/>
      </w:r>
      <w:r w:rsidR="00671F4E">
        <w:tab/>
      </w:r>
      <w:r w:rsidR="000C4E24">
        <w:tab/>
      </w:r>
      <w:r w:rsidR="000C4E24">
        <w:tab/>
      </w:r>
      <w:r w:rsidR="00B0012C">
        <w:t>Amen.</w:t>
      </w:r>
    </w:p>
    <w:sectPr w:rsidR="00D23F5F" w:rsidRPr="002A4B5F" w:rsidSect="004C0C52">
      <w:headerReference w:type="default" r:id="rId8"/>
      <w:footerReference w:type="even" r:id="rId9"/>
      <w:footerReference w:type="default" r:id="rId10"/>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5BA" w:rsidRDefault="004275BA">
      <w:r>
        <w:separator/>
      </w:r>
    </w:p>
  </w:endnote>
  <w:endnote w:type="continuationSeparator" w:id="0">
    <w:p w:rsidR="004275BA" w:rsidRDefault="0042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E24" w:rsidRDefault="000C4E24" w:rsidP="003242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C4E24" w:rsidRDefault="000C4E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E24" w:rsidRPr="00D23F5F" w:rsidRDefault="000C4E24" w:rsidP="00324271">
    <w:pPr>
      <w:pStyle w:val="Fuzeile"/>
      <w:framePr w:wrap="around" w:vAnchor="text" w:hAnchor="margin" w:xAlign="center" w:y="1"/>
      <w:rPr>
        <w:rStyle w:val="Seitenzahl"/>
        <w:sz w:val="20"/>
      </w:rPr>
    </w:pPr>
    <w:r w:rsidRPr="00D23F5F">
      <w:rPr>
        <w:rStyle w:val="Seitenzahl"/>
        <w:sz w:val="20"/>
      </w:rPr>
      <w:fldChar w:fldCharType="begin"/>
    </w:r>
    <w:r w:rsidRPr="00D23F5F">
      <w:rPr>
        <w:rStyle w:val="Seitenzahl"/>
        <w:sz w:val="20"/>
      </w:rPr>
      <w:instrText xml:space="preserve">PAGE  </w:instrText>
    </w:r>
    <w:r w:rsidRPr="00D23F5F">
      <w:rPr>
        <w:rStyle w:val="Seitenzahl"/>
        <w:sz w:val="20"/>
      </w:rPr>
      <w:fldChar w:fldCharType="separate"/>
    </w:r>
    <w:r w:rsidR="00937D33">
      <w:rPr>
        <w:rStyle w:val="Seitenzahl"/>
        <w:noProof/>
        <w:sz w:val="20"/>
      </w:rPr>
      <w:t>2</w:t>
    </w:r>
    <w:r w:rsidRPr="00D23F5F">
      <w:rPr>
        <w:rStyle w:val="Seitenzahl"/>
        <w:sz w:val="20"/>
      </w:rPr>
      <w:fldChar w:fldCharType="end"/>
    </w:r>
  </w:p>
  <w:p w:rsidR="000C4E24" w:rsidRPr="00D23F5F" w:rsidRDefault="000C4E24">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5BA" w:rsidRDefault="004275BA">
      <w:r>
        <w:separator/>
      </w:r>
    </w:p>
  </w:footnote>
  <w:footnote w:type="continuationSeparator" w:id="0">
    <w:p w:rsidR="004275BA" w:rsidRDefault="004275BA">
      <w:r>
        <w:continuationSeparator/>
      </w:r>
    </w:p>
  </w:footnote>
  <w:footnote w:id="1">
    <w:p w:rsidR="00685BB8" w:rsidRPr="00685BB8" w:rsidRDefault="00685BB8">
      <w:pPr>
        <w:pStyle w:val="Funotentext"/>
        <w:rPr>
          <w:sz w:val="16"/>
          <w:szCs w:val="16"/>
        </w:rPr>
      </w:pPr>
      <w:r w:rsidRPr="00685BB8">
        <w:rPr>
          <w:rStyle w:val="Funotenzeichen"/>
          <w:sz w:val="16"/>
          <w:szCs w:val="16"/>
        </w:rPr>
        <w:footnoteRef/>
      </w:r>
      <w:r w:rsidRPr="00685BB8">
        <w:rPr>
          <w:sz w:val="16"/>
          <w:szCs w:val="16"/>
        </w:rPr>
        <w:t xml:space="preserve"> Schott C, S. 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E24" w:rsidRPr="00D23F5F" w:rsidRDefault="000C4E24" w:rsidP="000841B1">
    <w:pPr>
      <w:pStyle w:val="Kopfzeile"/>
      <w:spacing w:before="0" w:after="0"/>
      <w:rPr>
        <w:sz w:val="16"/>
        <w:szCs w:val="16"/>
      </w:rPr>
    </w:pPr>
    <w:r>
      <w:rPr>
        <w:sz w:val="16"/>
        <w:szCs w:val="16"/>
      </w:rPr>
      <w:t xml:space="preserve">7. Ostersonntag – C – </w:t>
    </w:r>
    <w:r w:rsidR="00B177DC">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E17AA"/>
    <w:multiLevelType w:val="hybridMultilevel"/>
    <w:tmpl w:val="F6BC276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5F"/>
    <w:rsid w:val="000004CB"/>
    <w:rsid w:val="000841B1"/>
    <w:rsid w:val="000C4E24"/>
    <w:rsid w:val="00100591"/>
    <w:rsid w:val="00130487"/>
    <w:rsid w:val="00173D9B"/>
    <w:rsid w:val="0029661C"/>
    <w:rsid w:val="002A4B5F"/>
    <w:rsid w:val="002A69D7"/>
    <w:rsid w:val="00315C90"/>
    <w:rsid w:val="00324271"/>
    <w:rsid w:val="00342F9E"/>
    <w:rsid w:val="003605E1"/>
    <w:rsid w:val="00365CF8"/>
    <w:rsid w:val="004275BA"/>
    <w:rsid w:val="00466CFE"/>
    <w:rsid w:val="00470E11"/>
    <w:rsid w:val="004C0C52"/>
    <w:rsid w:val="005436B9"/>
    <w:rsid w:val="00611B0F"/>
    <w:rsid w:val="00671F4E"/>
    <w:rsid w:val="00685BB8"/>
    <w:rsid w:val="006A6294"/>
    <w:rsid w:val="00766941"/>
    <w:rsid w:val="00802171"/>
    <w:rsid w:val="00840326"/>
    <w:rsid w:val="00871571"/>
    <w:rsid w:val="008C410F"/>
    <w:rsid w:val="008F36F1"/>
    <w:rsid w:val="00937D33"/>
    <w:rsid w:val="009702D0"/>
    <w:rsid w:val="00993705"/>
    <w:rsid w:val="009D4BA6"/>
    <w:rsid w:val="00A3101E"/>
    <w:rsid w:val="00AC3BB6"/>
    <w:rsid w:val="00B0012C"/>
    <w:rsid w:val="00B07C54"/>
    <w:rsid w:val="00B177DC"/>
    <w:rsid w:val="00B42E5B"/>
    <w:rsid w:val="00B5355E"/>
    <w:rsid w:val="00B66BA8"/>
    <w:rsid w:val="00C36F26"/>
    <w:rsid w:val="00C8082F"/>
    <w:rsid w:val="00D23F5F"/>
    <w:rsid w:val="00E5798F"/>
    <w:rsid w:val="00EE3360"/>
    <w:rsid w:val="00EF5A05"/>
    <w:rsid w:val="00F04C89"/>
    <w:rsid w:val="00F72D22"/>
    <w:rsid w:val="00FD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0C5E9"/>
  <w15:chartTrackingRefBased/>
  <w15:docId w15:val="{82FA19FD-A307-427E-B464-9403FAED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A4B5F"/>
    <w:pPr>
      <w:widowControl w:val="0"/>
      <w:overflowPunct w:val="0"/>
      <w:autoSpaceDE w:val="0"/>
      <w:autoSpaceDN w:val="0"/>
      <w:adjustRightInd w:val="0"/>
      <w:spacing w:before="100" w:after="10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23F5F"/>
    <w:pPr>
      <w:jc w:val="both"/>
    </w:pPr>
  </w:style>
  <w:style w:type="paragraph" w:styleId="Kopfzeile">
    <w:name w:val="header"/>
    <w:basedOn w:val="Standard"/>
    <w:rsid w:val="00D23F5F"/>
    <w:pPr>
      <w:tabs>
        <w:tab w:val="center" w:pos="4536"/>
        <w:tab w:val="right" w:pos="9072"/>
      </w:tabs>
    </w:pPr>
  </w:style>
  <w:style w:type="paragraph" w:styleId="Fuzeile">
    <w:name w:val="footer"/>
    <w:basedOn w:val="Standard"/>
    <w:rsid w:val="00D23F5F"/>
    <w:pPr>
      <w:tabs>
        <w:tab w:val="center" w:pos="4536"/>
        <w:tab w:val="right" w:pos="9072"/>
      </w:tabs>
    </w:pPr>
  </w:style>
  <w:style w:type="character" w:styleId="Seitenzahl">
    <w:name w:val="page number"/>
    <w:basedOn w:val="Absatz-Standardschriftart"/>
    <w:rsid w:val="00D23F5F"/>
  </w:style>
  <w:style w:type="paragraph" w:styleId="Sprechblasentext">
    <w:name w:val="Balloon Text"/>
    <w:basedOn w:val="Standard"/>
    <w:semiHidden/>
    <w:rsid w:val="009D4BA6"/>
    <w:rPr>
      <w:rFonts w:ascii="Tahoma" w:hAnsi="Tahoma" w:cs="Tahoma"/>
      <w:sz w:val="16"/>
      <w:szCs w:val="16"/>
    </w:rPr>
  </w:style>
  <w:style w:type="paragraph" w:styleId="Funotentext">
    <w:name w:val="footnote text"/>
    <w:basedOn w:val="Standard"/>
    <w:link w:val="FunotentextZchn"/>
    <w:rsid w:val="00685BB8"/>
    <w:pPr>
      <w:spacing w:before="0" w:after="0"/>
    </w:pPr>
    <w:rPr>
      <w:sz w:val="20"/>
    </w:rPr>
  </w:style>
  <w:style w:type="character" w:customStyle="1" w:styleId="FunotentextZchn">
    <w:name w:val="Fußnotentext Zchn"/>
    <w:basedOn w:val="Absatz-Standardschriftart"/>
    <w:link w:val="Funotentext"/>
    <w:rsid w:val="00685BB8"/>
  </w:style>
  <w:style w:type="character" w:styleId="Funotenzeichen">
    <w:name w:val="footnote reference"/>
    <w:basedOn w:val="Absatz-Standardschriftart"/>
    <w:rsid w:val="00685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D3D6-F57E-4E43-8016-2F0E9F97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Bei der Vorbereitung habe ich mich gefragt: Können diese Texte auch uns heute etwas sagen, kommen sie bei den Zuhörern an</vt:lpstr>
    </vt:vector>
  </TitlesOfParts>
  <Company>Erzbischöfliches Ordinariat Berlin</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der Vorbereitung habe ich mich gefragt: Können diese Texte auch uns heute etwas sagen, kommen sie bei den Zuhörern an</dc:title>
  <dc:subject/>
  <dc:creator>Armin Kögler</dc:creator>
  <cp:keywords/>
  <dc:description/>
  <cp:lastModifiedBy>Armin Kögler</cp:lastModifiedBy>
  <cp:revision>5</cp:revision>
  <cp:lastPrinted>2013-05-11T08:58:00Z</cp:lastPrinted>
  <dcterms:created xsi:type="dcterms:W3CDTF">2022-05-07T07:09:00Z</dcterms:created>
  <dcterms:modified xsi:type="dcterms:W3CDTF">2022-05-21T06:11:00Z</dcterms:modified>
</cp:coreProperties>
</file>